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FD" w:rsidRPr="006219FD" w:rsidRDefault="006219FD" w:rsidP="006219FD">
      <w:pPr>
        <w:jc w:val="center"/>
        <w:rPr>
          <w:rFonts w:asciiTheme="minorHAnsi" w:hAnsiTheme="minorHAnsi"/>
          <w:b/>
          <w:sz w:val="22"/>
          <w:szCs w:val="22"/>
          <w:u w:val="single"/>
        </w:rPr>
      </w:pPr>
      <w:r w:rsidRPr="006219FD">
        <w:rPr>
          <w:rFonts w:asciiTheme="minorHAnsi" w:hAnsiTheme="minorHAnsi"/>
          <w:b/>
          <w:sz w:val="22"/>
          <w:szCs w:val="22"/>
          <w:u w:val="single"/>
        </w:rPr>
        <w:t>Políticas públicas de turismo en el Perú</w:t>
      </w:r>
    </w:p>
    <w:p w:rsidR="006219FD" w:rsidRPr="006219FD" w:rsidRDefault="006219FD" w:rsidP="006219FD">
      <w:pPr>
        <w:jc w:val="both"/>
        <w:rPr>
          <w:rFonts w:asciiTheme="minorHAnsi" w:hAnsiTheme="minorHAnsi"/>
          <w:sz w:val="22"/>
          <w:szCs w:val="22"/>
        </w:rPr>
      </w:pPr>
    </w:p>
    <w:p w:rsidR="006219FD" w:rsidRPr="006219FD" w:rsidRDefault="006219FD" w:rsidP="006219FD">
      <w:pPr>
        <w:jc w:val="right"/>
        <w:rPr>
          <w:rFonts w:asciiTheme="minorHAnsi" w:hAnsiTheme="minorHAnsi"/>
          <w:b/>
          <w:sz w:val="22"/>
          <w:szCs w:val="22"/>
        </w:rPr>
      </w:pPr>
      <w:r w:rsidRPr="006219FD">
        <w:rPr>
          <w:rFonts w:asciiTheme="minorHAnsi" w:hAnsiTheme="minorHAnsi"/>
          <w:b/>
          <w:sz w:val="22"/>
          <w:szCs w:val="22"/>
        </w:rPr>
        <w:t>Norma Fuller</w:t>
      </w:r>
    </w:p>
    <w:p w:rsidR="006219FD" w:rsidRPr="006219FD" w:rsidRDefault="006219FD" w:rsidP="006219FD">
      <w:pPr>
        <w:jc w:val="both"/>
        <w:rPr>
          <w:rFonts w:asciiTheme="minorHAnsi" w:hAnsiTheme="minorHAnsi"/>
          <w:sz w:val="22"/>
          <w:szCs w:val="22"/>
        </w:rPr>
      </w:pPr>
    </w:p>
    <w:p w:rsidR="006219FD" w:rsidRPr="001A063D" w:rsidRDefault="006219FD" w:rsidP="006219FD">
      <w:pPr>
        <w:jc w:val="both"/>
        <w:rPr>
          <w:rFonts w:asciiTheme="minorHAnsi" w:hAnsiTheme="minorHAnsi"/>
          <w:b/>
          <w:i/>
          <w:color w:val="548DD4" w:themeColor="text2" w:themeTint="99"/>
          <w:sz w:val="32"/>
          <w:szCs w:val="32"/>
        </w:rPr>
      </w:pPr>
      <w:r w:rsidRPr="001A063D">
        <w:rPr>
          <w:rFonts w:asciiTheme="minorHAnsi" w:hAnsiTheme="minorHAnsi"/>
          <w:b/>
          <w:i/>
          <w:color w:val="548DD4" w:themeColor="text2" w:themeTint="99"/>
          <w:sz w:val="32"/>
          <w:szCs w:val="32"/>
        </w:rPr>
        <w:t xml:space="preserve">El Turismo es una de las actividades que </w:t>
      </w:r>
      <w:r w:rsidR="00976451" w:rsidRPr="001A063D">
        <w:rPr>
          <w:rFonts w:asciiTheme="minorHAnsi" w:hAnsiTheme="minorHAnsi"/>
          <w:b/>
          <w:i/>
          <w:color w:val="548DD4" w:themeColor="text2" w:themeTint="99"/>
          <w:sz w:val="32"/>
          <w:szCs w:val="32"/>
        </w:rPr>
        <w:t>más</w:t>
      </w:r>
      <w:r w:rsidRPr="001A063D">
        <w:rPr>
          <w:rFonts w:asciiTheme="minorHAnsi" w:hAnsiTheme="minorHAnsi"/>
          <w:b/>
          <w:i/>
          <w:color w:val="548DD4" w:themeColor="text2" w:themeTint="99"/>
          <w:sz w:val="32"/>
          <w:szCs w:val="32"/>
        </w:rPr>
        <w:t xml:space="preserve"> creció duran</w:t>
      </w:r>
      <w:r w:rsidR="00976451" w:rsidRPr="001A063D">
        <w:rPr>
          <w:rFonts w:asciiTheme="minorHAnsi" w:hAnsiTheme="minorHAnsi"/>
          <w:b/>
          <w:i/>
          <w:color w:val="548DD4" w:themeColor="text2" w:themeTint="99"/>
          <w:sz w:val="32"/>
          <w:szCs w:val="32"/>
        </w:rPr>
        <w:t>te la última década en el Perú</w:t>
      </w:r>
      <w:r w:rsidRPr="001A063D">
        <w:rPr>
          <w:rFonts w:asciiTheme="minorHAnsi" w:hAnsiTheme="minorHAnsi"/>
          <w:b/>
          <w:i/>
          <w:color w:val="548DD4" w:themeColor="text2" w:themeTint="99"/>
          <w:sz w:val="32"/>
          <w:szCs w:val="32"/>
        </w:rPr>
        <w:t>. Más aun, esta industria se presenta como una opción para el desarrollo de las zonas rurales y comunidades campesinas y nativas porque ofrece re</w:t>
      </w:r>
      <w:r w:rsidR="003E4E38">
        <w:rPr>
          <w:rFonts w:asciiTheme="minorHAnsi" w:hAnsiTheme="minorHAnsi"/>
          <w:b/>
          <w:i/>
          <w:color w:val="548DD4" w:themeColor="text2" w:themeTint="99"/>
          <w:sz w:val="32"/>
          <w:szCs w:val="32"/>
        </w:rPr>
        <w:t xml:space="preserve">cursos que ya existen –restos, </w:t>
      </w:r>
      <w:r w:rsidRPr="001A063D">
        <w:rPr>
          <w:rFonts w:asciiTheme="minorHAnsi" w:hAnsiTheme="minorHAnsi"/>
          <w:b/>
          <w:i/>
          <w:color w:val="548DD4" w:themeColor="text2" w:themeTint="99"/>
          <w:sz w:val="32"/>
          <w:szCs w:val="32"/>
        </w:rPr>
        <w:t>paisajes, h</w:t>
      </w:r>
      <w:r w:rsidR="003E4E38">
        <w:rPr>
          <w:rFonts w:asciiTheme="minorHAnsi" w:hAnsiTheme="minorHAnsi"/>
          <w:b/>
          <w:i/>
          <w:color w:val="548DD4" w:themeColor="text2" w:themeTint="99"/>
          <w:sz w:val="32"/>
          <w:szCs w:val="32"/>
        </w:rPr>
        <w:t xml:space="preserve">istoria, cultura. Sin embargo, </w:t>
      </w:r>
      <w:r w:rsidRPr="001A063D">
        <w:rPr>
          <w:rFonts w:asciiTheme="minorHAnsi" w:hAnsiTheme="minorHAnsi"/>
          <w:b/>
          <w:i/>
          <w:color w:val="548DD4" w:themeColor="text2" w:themeTint="99"/>
          <w:sz w:val="32"/>
          <w:szCs w:val="32"/>
        </w:rPr>
        <w:t>las ciencias sociales no se han interesado mayormente en este fenómeno y lo han dejado en manos de la empresa privada y de las instancias burocráticas.</w:t>
      </w:r>
    </w:p>
    <w:p w:rsidR="006219FD" w:rsidRPr="006219FD" w:rsidRDefault="006219FD" w:rsidP="006219FD">
      <w:pPr>
        <w:jc w:val="both"/>
        <w:rPr>
          <w:rFonts w:asciiTheme="minorHAnsi" w:hAnsiTheme="minorHAnsi"/>
          <w:sz w:val="22"/>
          <w:szCs w:val="22"/>
        </w:rPr>
      </w:pPr>
      <w:r w:rsidRPr="001A063D">
        <w:rPr>
          <w:rFonts w:asciiTheme="minorHAnsi" w:hAnsiTheme="minorHAnsi"/>
          <w:b/>
          <w:i/>
          <w:color w:val="548DD4" w:themeColor="text2" w:themeTint="99"/>
          <w:sz w:val="32"/>
          <w:szCs w:val="32"/>
        </w:rPr>
        <w:t xml:space="preserve">El presente trabajo es un intento de dar cuenta de la historia de esta actividad a través de la revisión de las políticas públicas dirigidas a este sector. Nos interesa identificar la manera en que las diferentes concepciones sobre el papel del Estado, la industria privada y las poblaciones locales definieron las políticas públicas y el impacto de las fluctuaciones de nuestra vida política y económica en el desarrollo del turismo. Finalmente intentaré dar cuenta de la versión del patrimonio cultural que guiaron estas políticas y su influencia en el tipo de turismo que propiciaron y propician en la actualidad. </w:t>
      </w:r>
      <w:r w:rsidRPr="006219FD">
        <w:rPr>
          <w:rFonts w:asciiTheme="minorHAnsi" w:hAnsiTheme="minorHAnsi"/>
          <w:sz w:val="22"/>
          <w:szCs w:val="22"/>
        </w:rPr>
        <w:t xml:space="preserve">    </w:t>
      </w:r>
    </w:p>
    <w:p w:rsidR="006219FD" w:rsidRPr="006219FD" w:rsidRDefault="006219FD" w:rsidP="006219FD">
      <w:pPr>
        <w:jc w:val="both"/>
        <w:rPr>
          <w:rFonts w:asciiTheme="minorHAnsi" w:hAnsiTheme="minorHAnsi"/>
          <w:sz w:val="22"/>
          <w:szCs w:val="22"/>
        </w:rPr>
      </w:pPr>
    </w:p>
    <w:p w:rsidR="003E4E38" w:rsidRDefault="003E4E38" w:rsidP="00976451">
      <w:pPr>
        <w:shd w:val="clear" w:color="auto" w:fill="DBE5F1" w:themeFill="accent1" w:themeFillTint="33"/>
        <w:jc w:val="both"/>
        <w:rPr>
          <w:rFonts w:asciiTheme="minorHAnsi" w:hAnsiTheme="minorHAnsi"/>
          <w:b/>
          <w:sz w:val="22"/>
          <w:szCs w:val="22"/>
        </w:rPr>
        <w:sectPr w:rsidR="003E4E38" w:rsidSect="00976451">
          <w:headerReference w:type="default" r:id="rId7"/>
          <w:footerReference w:type="even" r:id="rId8"/>
          <w:footerReference w:type="default" r:id="rId9"/>
          <w:pgSz w:w="11906" w:h="16838"/>
          <w:pgMar w:top="1417" w:right="1701" w:bottom="1417" w:left="1701" w:header="708" w:footer="708" w:gutter="0"/>
          <w:cols w:space="708"/>
          <w:docGrid w:linePitch="360"/>
        </w:sect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lastRenderedPageBreak/>
        <w:t xml:space="preserve">Primera etapa: Expansión de trasportes e infraestructura.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historia del turismo en el Perú corre paralela al desarrollo de esta industria en el mundo. Durante las primeras décadas del siglo XX la expansión de los medios de comunicación terrestre (carreteras y ferrocarriles) y aérea y la consolidación de las clases medias asalariadas facilitaron un cierto desarrollo del turismo interno especializado en vacaciones y salud. Dado lo costoso del transporte ultramarino y, que el Perú está lejos de los países industrializados, durante la primera mitad del siglo XX el turismo receptivo fue incipiente y limitado a viajeros de altos recursos.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Durante la primera mitad del siglo XX el turismo no formó parte de las políticas públicas porque no era considerado como un sector que generase divisas o trabajo. Sin embargo, se observa un lento crecimiento de esta actividad que va paralela a la expansión de vías de comunicación que facilitan la movilidad de la población y al crecimiento y consolidación de las clases medias asalariadas con suficientes ingresos estables para emprender viajes de descanso, recreación y salud. La construcción de vías férreas iniciada a mediados del siglo XIX  y concluida a inicios del siglo XX (1851- 1910) sería la primera gran revolución de los transportes en la medida en que unió a las regiones norte, centro y sur. Esta amplia red ferroviaria permitió la circulación segura y cómoda de pasajeros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periodo que va desde 1911 a 1930 se caracterizó por la gran expansión de los capitalismos norteamericano, europeo y japonés. Como consecuencia, los países latinoamericanos vivieron un ciclo de crecimiento económico gracias a la demanda creciente del mercado internacional por materias primas. Esta fase prosperidad, llevó a que casi todas las ciudades capitales de la región doblaran, e incluso, triplicaran su población y se modernizaran. Dentro de este clima, el gobierno de Leguía  (1919-1930) invirtió fuertemente en la modernización y expansión del aparato estatal. En este contexto los sectores medios crecieron notablemente y cambiaron de fisonomía debido al crecimiento de la burocracia estatal y al surgimiento de una capa de comerciantes y ejecutivos de las nuevas empresas nacionales y extranjeras.  El Estado asumió el papel de impulsor de la economía a través de la inversión en obras públicas para atraer a la inversión privada. Se amplió significativamente la red vial con la construcción de carreras, líneas férreas y aeropuertos. Se inició la construcción de la Carretera Panamericana lo que abrió la posibilidad de realizar viajes en automóvil entre las ciudades de la costa. También se construyeron tramos de la Carretera Central que une a la capital, Lima, con la sierra central. La edificación del aeropuerto internacional de Lima permitió recibir vuelos del exterior y facilitó la comunicación con el interior.  Este clima de bonanza propició el desarrollo de un cierto turismo interno hacia las ciudades de provincias, balnearios y centros medicinales. Ejemplo de ello son los complejos hoteleros de los balnearios de Huacachina en Ica y los Baños de Boza en Huaral, dos de los puntos mas concurridos por las clases altas y medias iqueñas y limeñas hasta la década de los cincuenta. Asimismo, por el Aniversario de 100 años de Independencia, se emprendieron grandes obras para embellecer y modernizar a la ciudad de Lima. Ello  incluyó la construcción de parques, plazas, hoteles, museos y monumentos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crisis económica de fines de los años veinte supuso una violenta contracción de la economía nacional. Este periodo se caracteriza por el descontento popular y el control militar del aparato estatal  hasta fines de la década de 1930. El primer gobierno de Manuel Prado (1939-1945) significó el retorno a la democracia y una conducción de la economía según la cual el Estado debe asumir un rol protagonista en la tarea de modernizar el país en alianza con la inversión privada (Ob.cit.: 272) El mercado interno creció debido a la expansión demográfica que se inició en la década de los cuarenta y a la política estatal de control de precios y aumento de salarios.  Durante este periodo se creó la Escuela de Cicerones (1940) para la instrucción en la actividad turística, que luego se convertiría en CENFOTUR.   También se establecieron las primeras corporaciones de desarrollo a través de las cuales el Estado  buscaba apoyar y potenciar las iniciativas privadas de expansión económica. En 1942, se inauguró  la  cadena de Hoteles de Turistas propiedad de la compañía Hotelera del Perú S.A.  y se culminó la construcción, de la </w:t>
      </w:r>
      <w:r w:rsidRPr="006219FD">
        <w:rPr>
          <w:rFonts w:asciiTheme="minorHAnsi" w:hAnsiTheme="minorHAnsi"/>
          <w:sz w:val="22"/>
          <w:szCs w:val="22"/>
        </w:rPr>
        <w:lastRenderedPageBreak/>
        <w:t>carretera Panamericana que une a toda la costa. Ello facilitó la comunicación y ofreció servicios de hospedaje adecuados a los turistas.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corto gobierno de Bustamante y Rivero (1945-1948) se caracterizó por un mayor control e intervención estatal en la economía. Dentro de esta tónica, en 1946 se creó la Corporación Nacional de Turismo a la que se adjudicó la administración de la cadena de hoteles de turistas.  Esta entidad continuó con la construcción hoteles . La expansión del papel del Estado y los planes de inversión se vieron frenadas por una grave crisis económica acompañada de un aumento del costo de vida,  con el consiguiente  descontento general y la caída del gobierno debido al golpe militar del general de ejército Manuel  Odría  (Ob. Cit.: 290-291).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Los años 50 marcaron el inicio de un nuevo periodo de industrialización, modernización y urbanización. El impacto de la Guerra de Corea sobre los precios de las materias primas y algunas inversiones extranjeras en minería y manufactura dieron nueva vida a la economía nacional. Las finanzas del Estado se expandieron y el gobierno ejecutó diversas obras públicas. La inversión privada se expandió y las clases medias urbanas crecieron y consolidaron. Ello se expresó en una mayor capacidad de gasto en viajes destinados a vacaciones y al cuidado de la salud.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ochenio de Odría (1948-1953) supuso el retorno al esquema liberal según el cual el  Estado cumple un rol subsidiario de la inversión privada y se estimula la inversión extranjera (Garaycochea, 2007).  Dentro de esta tónica, el gobierno devolvió la propiedad de la cadena de hoteles de turistas a la  Compañía Hotelera del Perú S.A. que expandió significativamente la capacidad hotelera nacional. Asimismo, el Estado, junto con la empresa privada emprendió obras de infraestructura que ampliaron la red de carreteras y el sistema de transportes. Ello supuso la ampliación de las instalaciones necesarias para el desarrollo turístico.  El segundo gobierno de Manuel Prado (1956-1960) continúo con las políticas iniciadas por el régimen previo.</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p>
    <w:p w:rsidR="003E4E38" w:rsidRDefault="003E4E38" w:rsidP="00976451">
      <w:pPr>
        <w:shd w:val="clear" w:color="auto" w:fill="DBE5F1" w:themeFill="accent1" w:themeFillTint="33"/>
        <w:jc w:val="both"/>
        <w:rPr>
          <w:rFonts w:asciiTheme="minorHAnsi" w:hAnsiTheme="minorHAnsi"/>
          <w:b/>
          <w:sz w:val="22"/>
          <w:szCs w:val="22"/>
        </w:rPr>
        <w:sectPr w:rsidR="003E4E38" w:rsidSect="00976451">
          <w:headerReference w:type="default" r:id="rId10"/>
          <w:pgSz w:w="11906" w:h="16838"/>
          <w:pgMar w:top="1417" w:right="1701" w:bottom="1417" w:left="1701" w:header="708" w:footer="708" w:gutter="0"/>
          <w:cols w:space="708"/>
          <w:docGrid w:linePitch="360"/>
        </w:sect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lastRenderedPageBreak/>
        <w:t xml:space="preserve">Segunda etapa: El Estado inversor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La década de los sesenta significó un giro en el turismo mundial. Este creció explosivamente gracias al abaratamiento de los medios de transporte  y a la expansión de las clases medias y se convirtió en una industria de masas. Los países del tercer mundo ingresaron al  mapa turístico como receptores de visitantes del primer mundo. Se trata de un periodo de euforia durante el cual diferentes organizaciones internacionales promovieron esta industria como una vía alternativa al desarrollo. Se incentivó el endeudamiento público y privado para implementar obras de infraestructura y promoción de esta actividad.  En consecuencia el turismo ingresa dentro de las políticas públicas como una posible vía de desarrollo. Dentro de este contexto, el primer mandato de Belaúnde (1963-1968) fue un punto de inflexión, por primera vez se diseñaron políticas públicas destinadas a incrementar el flujo de turistas internos e internacionales. Se buscó promover el turismo interno con el eslogan: “Conozca el Perú primero” y con incentivos tales como conceder a los funcionarios públicos adelantos de su fondo de pensiones para que pudieran  usarlo en vacaciones.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Este periodo se caracterizó por el interés en expandir la infraestructura vial e integrar todo el territorio nacional. Se emprendió grandes obras de infraestructura vial (Contreras y Cueto, 2004) entre ellas la carretera marginal de la selva que abrió la posibilidad de integrar la región amazónica a los circuitos turísticos. Se construyó aeropuertos en diversas ciudades el interior.</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1964  se creó la Corporación de Turismo del Perú (COTURPERU)  para promover la restauración del patrimonio monumental y el desarrollo de infraestructura hotelera.  En 1969 COTURPERU asumió la administración de la cadena de hoteles de turistas. Dentro de este marco se  diseñó el Plan Copesco, un proyecto estatal para implementar infraestructura turística en el sur del Perú. Se elaboró  junto a la empresa norteamericana Checchi and Company un estudio sobre ‘Las Posibilidades del Turismo en el Perú’.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este periodo también se incentiva la educación en turismo. En 1965 se fundó la Escuela Nacional de Turismo que se convertiría en el Centro Nacional de Aprendizaje de Servidores en Hoteles (CENASH) destinado a capacitar a trabajadores de hoteles, restaurantes y agencias de turismo. En 1975 se incorporaron al SENATI como programas de Turismo y Hotelería.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golpe de Estado de Velasco (1968-1975) instauró por siete años un gobierno que favorecería un mayor control estatal de la economía. En adelante el turismo se convertiría en un sector de la economía y se buscó impulsarlo, a través de  la promoción del Perú como destino, el apoyo al turismo interno y  la construcción de infraestructura. Se incentivó también la inversión privada nacional en hotelería y turismo a través de estímulos tales como la concesión de préstamos y la exención de impuestos para las inversiones en este rubro. Se creó impuestos a los bienes y servicios que se destinaron al desarrollo del turismo (FOPTUR, 1981). El Plan Inca buscó incrementar el ingreso de divisas y estimular el turismo receptivo así como el acceso de las mayorías al turismo interno mediante la  inversión estatal en obras de infraestructura turística y en instalaciones tales como la construcción de albergues a precios accesibles.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En 1969 la Corporación de Turismo del Perú se convirtió en ENTURPERU, una empresa estatal dedicada al desarrollo del turismo y a la promoción del Perú como destino basado en su patrimonio natural, cultural y folklórico. Se emprendió restauraciones del patrimonio material: histórico y arqueológico  (Franco, 1983:700) y se implementó una política de rescate y revalorización del patrimonio inmaterial con especial énfasis en las poblaciones campesinas y nativas. Para ello se creó ferias artesanales y festivales de artes y danzas populares a lo largo de todo el Perú y se buscó estimular la producción de artesanías como un medio de generar ingresos complementarios entre las poblaciones campesinas y nativas.  En suma, el tipo de turismo que se incentivó fue el cultural en sus versiones histórico y arqueológico. Ello iba en consonancia con la ideología oficial que enfatizaba las raíces indígenas de la peruanidad y buscaba revalorizar el acervo cultural de la nación.</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lastRenderedPageBreak/>
        <w:t>El gobierno de Morales Bermúdez (1975-1980) se propuso revertir el modelo económico puesto en marcha por Velasco. Las políticas públicas con respecto a este sector dieron mayor énfasis al apoyo a la inversión privada.  En 1977 se promulgó un régimen de incentivos para la actividad turística, entre los cuales se incluyó la exoneración de impuestos, facilidades de pago en la adquisición de terrenos de propiedad del Estado, créditos para el financiamiento con tasas de interés favorables a través de la Banca Estatal. También se otorgó incentivos tributarios a la inversión y/o reinversión privada a través de la liberación del impuesto a la renta en tales casos. (FOPTUR, 1981). En lo referente a la promoción turística, se disminuyó el impuesto a bienes y servicios destinado al desarrollo turístico. En compensación se gravó la salida al exterior con la creación del impuesto al viaje al exterior y la asignación de un costo al trámite de pasaporte.</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Estado continuó asumiendo un rol de promotor y subsidiario del sector. Se creó el Ministerio de Industria y Turismo, al cual se asignó como ámbitos de competencia: planear y promover la provisión de infraestructura turística, normar y controlar el funcionamiento de los servicios turísticos, supervisar y controlar la calidad de los servicios turísticos y favorecer la capacitación profesional de los trabajadores del sector. (FOPTUR, 1981) Se creó el Fondo de  Promoción del Turismo (FOPTUR) con el objetivo  de intermediar, en lo financiero, entre el sector público y privado y de institucionalizar la promoción turística. Sus tareas eran: promocionar el turismo receptivo; brindar apoyo e incentivar a las empresas de servicios turísticos en la ejecución de programas de promoción del turismo receptivo; apoyar y participar en certámenes, exposiciones, ferias y otros eventos tanto en el país como en el extranjero; apoyar el folklore y la artesanía como medios de atracción turística; realizar planes, programas y proyectos de promoción turística y desarrollar actividades de investigación y capacitación turísticas (FOPTUR, 1981) FOPTUR estaba a cargo también de la construcción de infraestructura básica, sin embargo esta meta se logró  solo parcialmente debido a la ausencia de lineamientos concretos (De la Flor 2000: 112-113).</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Junto a FOPTUR, se creó el Centro de Formación Turística (CENFOTUR) como entidad educativa destinada a la formación de profesionales en el sector turismo. Conforme a la concepción estatal del turismo, sus tareas se remitían a: estudiar y determinar las necesidades de formación y capacitación del personal requerido; proponer a la Secretaría de Estado de Turismo la política de formación y capacitación del personal de la actividad turística; planear, elaborar, ejecutar y promover programas de formación y capacitación de acuerdo con las políticas sectoriales establecidas; y emitir pronunciamientos para la apertura de nuevos centros de enseñanza turística y para la ejecución de actividades educativas sobre la materia.</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década de los ochenta estuvo signada por la recesión económica nacional e internacional. A la crisis económica se sumó el clima de inseguridad interna debido a la violencia desatada por movimientos insurgentes que tomaron la vía armada. Al final de los ochenta el sector había colapsado, el flujo de visitantes del exterior era casi inexistente y la hiperinflación de los años 1988-90, que llevó a las clases medias a la ruina,  redujo drásticamente el turismo interno.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segundo gobierno de  Belaúnde (1980-1985) profundizó el retorno al liberalismo económico iniciado por Morales Bermúdez. Sin embargo, se enfrentó a un clima de malestar social debido a la crisis económica que hizo decaer los niveles de vida de los sectores medios y populares y al surgimiento de los movimientos insurgentes Sendero Luminoso y Tupac Amaru. En lo referente al sector  turístico las políticas estatales se concentraron en la labor de promoción y estímulo a la inversión privada a través de incentivos tributarios y financieros al transporte aéreo y a la construcción hotelera. Dentro de este  contexto ENTERPERU, administradora de los Hoteles de Turistas, fue privatizada nuevamente y rebautizada como COTURPERU. En su último año de gobierno, Belaúnde promulgó la Ley General del Turismo que favorecía la inversión privada y la reinversión en turismo. En el primer gobierno de García (1985-1990) se continuó con las políticas establecidas por Belaúnde. Sin embargo, los incentivos a la reinversión se anularon y la actividad turística disminuyó considerablemente debido a la inseguridad interna y a la profundización de la crisis económica.</w:t>
      </w:r>
    </w:p>
    <w:p w:rsidR="006219FD" w:rsidRPr="006219FD" w:rsidRDefault="006219FD" w:rsidP="006219FD">
      <w:pPr>
        <w:jc w:val="both"/>
        <w:rPr>
          <w:rFonts w:asciiTheme="minorHAnsi" w:hAnsiTheme="minorHAnsi"/>
          <w:sz w:val="22"/>
          <w:szCs w:val="22"/>
        </w:rPr>
      </w:pPr>
    </w:p>
    <w:p w:rsidR="003E4E38" w:rsidRDefault="003E4E38" w:rsidP="00976451">
      <w:pPr>
        <w:shd w:val="clear" w:color="auto" w:fill="DBE5F1" w:themeFill="accent1" w:themeFillTint="33"/>
        <w:jc w:val="both"/>
        <w:rPr>
          <w:rFonts w:asciiTheme="minorHAnsi" w:hAnsiTheme="minorHAnsi"/>
          <w:b/>
          <w:sz w:val="22"/>
          <w:szCs w:val="22"/>
        </w:rPr>
        <w:sectPr w:rsidR="003E4E38" w:rsidSect="00976451">
          <w:headerReference w:type="default" r:id="rId11"/>
          <w:pgSz w:w="11906" w:h="16838"/>
          <w:pgMar w:top="1417" w:right="1701" w:bottom="1417" w:left="1701" w:header="708" w:footer="708" w:gutter="0"/>
          <w:cols w:space="708"/>
          <w:docGrid w:linePitch="360"/>
        </w:sect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lastRenderedPageBreak/>
        <w:t>Tercera etapa: El Estado Promotor</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En la década de los noventa la economía peruana y la seguridad interna comienzan a recuperarse. Durante el gobierno de Fujimori (1990-2000) se giró definitivamente a un modelo neo liberal en la conducción de la economía y en el diseño de políticas publicas. Se profundizó la privatización de las inversiones y se desmontó  y reorganizó el aparato organizacional y la infraestructura estatales. Se disolvió ENTURPERU y los hoteles pertenecientes a la cadena Hoteles de Turistas fueron adquiridos por el sector privado (Indacochea 1996).</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cambio en la importancia económica del turismo fue de la mano con un incremento en la atención brindada desde el Estado a tal actividad. Desde 1993 se observa un crecimiento continuo del sector. Los ingresos de divisas crecieron a tasas del 20% anual hasta 1998 año en que se generaron 913 millones de dólares en divisas. El año 1998 fue declarado oficialmente el "Año de los 600 mil turistas" y 1999 es el "Año del turismo interno" (Chacaltana 1999).</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 xml:space="preserve">En contraste con los regimenes anteriores, cuyas políticas se centraron en la construcción de infraestructura y en los incentivos a la inversión, a partir del gobierno de Fujimori las políticas públicas enfocaron la labor de promoción dejando las obras de infraestructura en manos del sector privado. Además se buscó ampliar la oferta turística y las campañas de publicidad del Estado peruano dejaron de enfocar el llamado turismo étnico o cultural y fomentaron no sólo las visitas arqueológicas, sino las culturas vivas, la ecología, las expresiones artísticas regionales y la gastronomía (Manrique, 2000:315). Para ello se  implementó herramientas promocionales más variadas y actualizadas. Con este fin se creó PROMPERU entidad que tiene como objetivo propiciar el crecimiento de los flujos turísticos, participar en eventos, establecer alianzas con diversos organismos internacionales y crear y promover productos turísticos peruanos en el mercado internacional.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“Por primera vez se planteó un Programa Integrado de Apoyo del Sector Turismo en el Perú (1996-1999)  y se diseñó un Plan Maestro de Desarrollo Turístico Nacional de la República del Perú  El Programa apoyado por la UE, en principio, proponía mejorar la competitividad del Perú como destino turístico.  En la práctica logró romper esquemas fomentando el desarrollo de productos innovadores que parten de iniciativas locales desde un enfoque de sostenibilidad dentro del marco de un "Turismo Vivencial". La gran mayoría de los proyectos del Programa estaban ubicados en áreas rurales y enfocados a actividades tales como agroturismo, trekking, rutas ancestrales, turismo participativo, etc. tanto en el norte (Cajamarca, Túcume y Huaraz) como el sur del país (Cusco y Valle Sagrado) y algunos de ellos todavía siguen vigentes hoy en día (septiembre 2014)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 </w:t>
      </w:r>
      <w:r w:rsidRPr="006219FD">
        <w:rPr>
          <w:rFonts w:asciiTheme="minorHAnsi" w:hAnsiTheme="minorHAnsi"/>
          <w:sz w:val="22"/>
          <w:szCs w:val="22"/>
        </w:rPr>
        <w:tab/>
        <w:t>Paralelamente, se buscó mejorar la oferta turística a través de la capacitación de los servidores de esta área y de programas destinados a generar cultura turística en la población. Se promulgó una nueva ley de turismo que creó diversas instancias que garantizan la seguridad del turista tales como la policía de turismo  y la fiscalía de turismo. Dentro de este marco INDECOPI   firmó un convenio con Promperu para, a través de la fiscalía del turismo , la policía de turismo  y el servicio de protección al turismo, se informe al consumidor, se vigile que las empresas cumplan las normas y, dado el caso, se sancione a la empresa y se repare al consumidor.  Es decir que se buscaba satisfacer necesidades e intereses del turista pero no se buscaba construir herramientas para que la población local se sienta reconocida social y políticamente. (Ulfe 2008).</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gobierno de Toledo (2001-2006) marcó el inicio de la recuperación económica del Perú en base al modelo ya en marcha durante el periodo de Fujimori. Las políticas públicas se centraron en la promoción del producto Perú y del turismo interno. Paralelamente se incentivó la inversión privada en infraestructura y se dio incentivos tributarios a la inversión en establecimientos de hospedaje.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Para incentivar el turismo interno se otorgó incentivos, tales como el establecimiento de feriados largos. Finalmente, se otorgó beneficios tributarios que eximían de IGV a los servicios de alojamiento y alimentación adquiridos en el país por sujetos no domiciliados.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lastRenderedPageBreak/>
        <w:t xml:space="preserve">Como estrategia de promoción internacional, en el 2002 se creó la Marca Turística, símbolo e imagen del Perú. En un principio pretendía dar cuenta y promocionar los monumentos arqueológicos, la naturaleza y las costumbres y festividades que se encuentran en el Perú. El eslogan propuesto fue: “Donde la historia vive” y el texto rezaba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La famosa piedra incaica de los 12 ángulos sirve de lienzo para dibujar el misterioso colibrí que trazaron los nazca en sus pampas. Esta composición da a luz un ave multicolor que establece un puente temporal entre el pasado y el presente, un puente mágico que une la diversidad cultural y natural de un país cuya historia nos habla sobre la fiesta de la vida. Es un ave que resalta la exuberante belleza de la tierra peruana, salta y brinca trayendo a la memoria insólitos danzantes que celebran cada día la magia del Perú (PromPerú 2002 en: Cortés 2007: 306).</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el 2003 la frase inscrita en la Marca Turística fue cambiada de “Donde la historia vive” a  “Perú, país de los Inkas” resaltando así la relación con la cultura incaica porque se consideraba que esta es la imagen que tipifica al Perú. Paralelamente se continuó con la promoción de la artesanía y la gastronomía en tanto expresiones del patrimonio inmaterial que pueden ser ofrecidas para el consumo de los visitantes (Alfaro 2005). También, se inició el Proyecto de Mejora del Sector Turismo en la Comunidad Andina que pretende mejorar el espacio turístico, reforzar los productos, crear un sistema de información, capacitar al personal turístico, generar mayor demanda, asegurar su sostenibilidad social y ambiental, facilitar y generar inversiones.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turismo interno creció de manera sostenida durante década del 2000. Durante el 2003 se realizaron aproximadamente 13,7 millones de viajes por turismo interno. Incremento considerable respecto al flujo de turistas internos de 1,1 a 2,6 millones registrado durante el año 1997. Sin embargo el crecimiento y flujo presentado fueron reducidos en comparación con el turismo internacional y en relación a la población.   Esto se debió, en buena medida, a que la infraestructura turística es limitada. La estabilidad económica atrajo a las inversiones en hotelería y transportes aéreos pero esta fue insuficiente. Tanto en hoteles como en transporte aéreo la inversión más fuerte provino de  capitales multinacionales. En el caso de los hoteles, la inversión creció significativamente pero se concentró en pocos destinos ya consagrados y  destinados al turismo receptivo. El transporte se desarrolló en el área de los vuelos internacionales en tanto que el sector de vuelos nacionales retrocedió y la oferta es insuficiente.. En consecuencia, a pesar de que este periodo se caracterizó por su tendencia hacia la institucionalización y formalización, el turismo no ha logrado desarrollar todo su potencial.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segundo gobierno de García (2006-2011) continúa con las políticas diseñadas en el Plan Estratégico Nacional 2005-2015. Se vive un clima de expansión económica que el Perú no veía desde la década de los setenta. El superávit fiscal  permite al Estado emprender obras de infraestructura vial y construcción de aeropuertos. Las clases medias viven un periodo de bonanza que se refleja en el dinamismo del turismo interno, auspiciado por políticas que otorgan feriados a los trabajadores del  sector público y con campañas publicitarias tales como “Escápate de la rutina” “Perú mucho gusto” y “El Perú lo tiene todo” puestas en marcha por PROMPERU.</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Los años 2008 y 2009 marcaron cierto un descenso en la actividad turística debido a la recesión económica mundial. Aunque sigue creciendo su ritmo se ha desacelerado pasando del tercer lugar como generador de divisas al quinto   </w:t>
      </w:r>
    </w:p>
    <w:p w:rsidR="006219FD" w:rsidRPr="006219FD" w:rsidRDefault="006219FD" w:rsidP="006219FD">
      <w:pPr>
        <w:jc w:val="both"/>
        <w:rPr>
          <w:rFonts w:asciiTheme="minorHAnsi" w:hAnsiTheme="minorHAnsi"/>
          <w:sz w:val="22"/>
          <w:szCs w:val="22"/>
        </w:rPr>
      </w:pPr>
    </w:p>
    <w:p w:rsidR="003E4E38" w:rsidRDefault="003E4E38" w:rsidP="00976451">
      <w:pPr>
        <w:shd w:val="clear" w:color="auto" w:fill="DBE5F1" w:themeFill="accent1" w:themeFillTint="33"/>
        <w:jc w:val="both"/>
        <w:rPr>
          <w:rFonts w:asciiTheme="minorHAnsi" w:hAnsiTheme="minorHAnsi"/>
          <w:b/>
          <w:sz w:val="22"/>
          <w:szCs w:val="22"/>
        </w:rPr>
        <w:sectPr w:rsidR="003E4E38" w:rsidSect="00976451">
          <w:headerReference w:type="default" r:id="rId12"/>
          <w:pgSz w:w="11906" w:h="16838"/>
          <w:pgMar w:top="1417" w:right="1701" w:bottom="1417" w:left="1701" w:header="708" w:footer="708" w:gutter="0"/>
          <w:cols w:space="708"/>
          <w:docGrid w:linePitch="360"/>
        </w:sect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lastRenderedPageBreak/>
        <w:t xml:space="preserve">Conclusiones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La historia del turismo en el Perú corre paralela al de nuestra historia y al desarrollo de esta industria en el mundo. La aparición del turismo interno se posibilitó por la expansión de los medios de comunicación terrestre (ferrocarril y carreteras) y por la consolidación de las clases medias asalariadas. Sin embargo, esta</w:t>
      </w:r>
      <w:bookmarkStart w:id="0" w:name="_GoBack"/>
      <w:bookmarkEnd w:id="0"/>
      <w:r w:rsidRPr="006219FD">
        <w:rPr>
          <w:rFonts w:asciiTheme="minorHAnsi" w:hAnsiTheme="minorHAnsi"/>
          <w:sz w:val="22"/>
          <w:szCs w:val="22"/>
        </w:rPr>
        <w:t xml:space="preserve"> actividad no tuvo mayor peso en la vida económica del país hasta la década de los sesenta en que se dio la gran expansión del turismo de masas y comenzó a llegar un flujo de turistas provenientes de los países del primer mundo. Desde entonces ha sufrido fluctuaciones que van paralelas a los climas económico y político nacional e internacional.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 partir de la década de los sesenta, el turismo ha adquirido  una creciente presencia y relevancia en las políticas públicas. Se observa una tendencia hacia la institucionalización y formalización de esta actividad. La evolución de su importancia responde a los cambios globales de la industria turística y a las fluctuaciones en la concepción del papel del Estado en la economía. Estas han girado desde posiciones liberales en las cuales el Estado cumple un rol de facilitador de la inversión privada hasta el intervencionismo en el cual lidera el desarrollo. De este modo encontramos que los regimenes liberales dan mayor énfasis a la promoción y al incentivo de la inversión privada mientras que los regimenes populistas enfatizan la inversión en infraestructura. Sin embargo, puede decirse que a lo largo de el siglo XX y el presente han predominado los regimenes liberales por lo que las políticas publicas se han concentrado mayormente en la promoción del producto Perú mientras que la inversión en infraestructura y en la puesta en valor del patrimonio material  e inmaterial ha sido poca y dependiente de donaciones de la cooperación internacional o de la iniciativa privada.</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tipo de turismo que caracteriza al Perú como receptor de turistas extranjeros es el cultural. Sin embargo la tendencia a la diversificación de esta actividad lleva a que aparezcan modalidades cada vez más diversas tales como los turismos ecológico, étnico, gastronómico y rural.  En consonancia, se observa que las políticas públicas de promoción del turismo se concentraron, hasta la década de los noventa en la promoción del Perú como destino histórico cultural mientras que a partir de las década de los noventa empieza a promocionar diversas variedades de turismo cultural y ecológico.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 xml:space="preserve">La visión del patrimonio nacional que inspira las políticas públicas sobre turismo responde en gran medida al tipo de turismo que el Perú atrae. En consecuencia, enfatiza el pasado prehispánico, la diferencia cultural y la ecología. Puede decirse que esta industria tiende a crear y difundir una imagen exotista del patrimonio cultural peruano.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Al respecto, resulta ilustrativo analizar la manera en que el Estado nacional define la posición de ciertas minorías étnicas o poblaciones campesinas que mantienen estilos de vida tradicionales para adecuarlas a las demandas del turismo internacional. En el Perú, por ejemplo, las poblaciones campesinas de la región andina y sus manifestaciones artísticas y culturales tienden a ser asimiladas al folclor, al pasado remoto o a las raíces de la cultura peruana, mientras que los grupos étnicos que habitan la Amazonía han empezado a ser vendidos en paquetes de turismo étnico o ecológico como «otros primitivos». Estas políticas expresan de manera gráfica las profundas fisuras de la sociedad peruana.</w:t>
      </w:r>
    </w:p>
    <w:p w:rsidR="00762808" w:rsidRPr="006219FD" w:rsidRDefault="006219FD" w:rsidP="006219FD">
      <w:pPr>
        <w:jc w:val="both"/>
        <w:rPr>
          <w:rFonts w:asciiTheme="minorHAnsi" w:hAnsiTheme="minorHAnsi"/>
          <w:sz w:val="22"/>
          <w:szCs w:val="22"/>
        </w:rPr>
      </w:pPr>
      <w:r w:rsidRPr="006219FD">
        <w:rPr>
          <w:rFonts w:asciiTheme="minorHAnsi" w:hAnsiTheme="minorHAnsi"/>
          <w:sz w:val="22"/>
          <w:szCs w:val="22"/>
        </w:rPr>
        <w:t>Uno de los giros más importantes en las campañas turísticas actuales es el afán de revalorizar expresiones culturales antes vilipendiadas. La comida y el sabor, las expresiones del arte, de la historia y el lenguaje se presentan ahora como expresiones del ingenio y la creatividad de los peruanos. Así está en curso un proceso de recuperación del patrimonio cultural peruano liderado por las elites económicas y empresariales, que se coloca una de las grandes productoras de discursos sobre la identidad nacional.</w:t>
      </w:r>
    </w:p>
    <w:sectPr w:rsidR="00762808" w:rsidRPr="006219FD" w:rsidSect="00976451">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37" w:rsidRDefault="00B21437">
      <w:r>
        <w:separator/>
      </w:r>
    </w:p>
  </w:endnote>
  <w:endnote w:type="continuationSeparator" w:id="0">
    <w:p w:rsidR="00B21437" w:rsidRDefault="00B2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C9" w:rsidRDefault="003217C9" w:rsidP="00765C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217C9" w:rsidRDefault="003217C9" w:rsidP="000C3F9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498782"/>
      <w:docPartObj>
        <w:docPartGallery w:val="Page Numbers (Bottom of Page)"/>
        <w:docPartUnique/>
      </w:docPartObj>
    </w:sdtPr>
    <w:sdtEndPr/>
    <w:sdtContent>
      <w:p w:rsidR="00976451" w:rsidRDefault="00976451">
        <w:pPr>
          <w:pStyle w:val="Piedepgina"/>
          <w:jc w:val="right"/>
        </w:pPr>
        <w:r>
          <w:fldChar w:fldCharType="begin"/>
        </w:r>
        <w:r>
          <w:instrText>PAGE   \* MERGEFORMAT</w:instrText>
        </w:r>
        <w:r>
          <w:fldChar w:fldCharType="separate"/>
        </w:r>
        <w:r w:rsidR="00DF784F" w:rsidRPr="00DF784F">
          <w:rPr>
            <w:noProof/>
            <w:lang w:val="es-ES"/>
          </w:rPr>
          <w:t>2</w:t>
        </w:r>
        <w:r>
          <w:fldChar w:fldCharType="end"/>
        </w:r>
      </w:p>
    </w:sdtContent>
  </w:sdt>
  <w:p w:rsidR="003217C9" w:rsidRDefault="003217C9" w:rsidP="000C3F9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37" w:rsidRDefault="00B21437">
      <w:r>
        <w:separator/>
      </w:r>
    </w:p>
  </w:footnote>
  <w:footnote w:type="continuationSeparator" w:id="0">
    <w:p w:rsidR="00B21437" w:rsidRDefault="00B214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38" w:rsidRPr="003E4E38" w:rsidRDefault="003E4E38" w:rsidP="003E4E38">
    <w:pPr>
      <w:pStyle w:val="Encabezado"/>
      <w:jc w:val="center"/>
      <w:rPr>
        <w:b/>
        <w:i/>
        <w:sz w:val="20"/>
      </w:rPr>
    </w:pPr>
    <w:r w:rsidRPr="003E4E38">
      <w:rPr>
        <w:b/>
        <w:i/>
        <w:sz w:val="20"/>
      </w:rPr>
      <w:t>Introducción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38" w:rsidRPr="003E4E38" w:rsidRDefault="003E4E38" w:rsidP="003E4E38">
    <w:pPr>
      <w:pStyle w:val="Encabezado"/>
      <w:jc w:val="center"/>
      <w:rPr>
        <w:b/>
        <w:i/>
        <w:sz w:val="20"/>
      </w:rPr>
    </w:pPr>
    <w:r>
      <w:rPr>
        <w:b/>
        <w:i/>
        <w:sz w:val="20"/>
      </w:rPr>
      <w:t>Primera Etapa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38" w:rsidRPr="003E4E38" w:rsidRDefault="003E4E38" w:rsidP="003E4E38">
    <w:pPr>
      <w:pStyle w:val="Encabezado"/>
      <w:jc w:val="center"/>
      <w:rPr>
        <w:b/>
        <w:i/>
        <w:sz w:val="20"/>
      </w:rPr>
    </w:pPr>
    <w:r>
      <w:rPr>
        <w:b/>
        <w:i/>
        <w:sz w:val="20"/>
      </w:rPr>
      <w:t>Segunda Etapa</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38" w:rsidRPr="003E4E38" w:rsidRDefault="003E4E38" w:rsidP="003E4E38">
    <w:pPr>
      <w:pStyle w:val="Encabezado"/>
      <w:jc w:val="center"/>
      <w:rPr>
        <w:b/>
        <w:i/>
        <w:sz w:val="20"/>
      </w:rPr>
    </w:pPr>
    <w:r>
      <w:rPr>
        <w:b/>
        <w:i/>
        <w:sz w:val="20"/>
      </w:rPr>
      <w:t>Tercera Etapa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84F" w:rsidRPr="003E4E38" w:rsidRDefault="00DF784F" w:rsidP="003E4E38">
    <w:pPr>
      <w:pStyle w:val="Encabezado"/>
      <w:jc w:val="center"/>
      <w:rPr>
        <w:b/>
        <w:i/>
        <w:sz w:val="20"/>
      </w:rPr>
    </w:pPr>
    <w:r>
      <w:rPr>
        <w:b/>
        <w:i/>
        <w:sz w:val="20"/>
      </w:rPr>
      <w:t>Conclusiones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51"/>
    <w:rsid w:val="00004067"/>
    <w:rsid w:val="000156C7"/>
    <w:rsid w:val="00016C9A"/>
    <w:rsid w:val="00025500"/>
    <w:rsid w:val="00026886"/>
    <w:rsid w:val="00035BD1"/>
    <w:rsid w:val="00041514"/>
    <w:rsid w:val="0004465F"/>
    <w:rsid w:val="00047898"/>
    <w:rsid w:val="000559B8"/>
    <w:rsid w:val="0005712F"/>
    <w:rsid w:val="00060928"/>
    <w:rsid w:val="00064D25"/>
    <w:rsid w:val="00066E22"/>
    <w:rsid w:val="00074D72"/>
    <w:rsid w:val="00076489"/>
    <w:rsid w:val="00077ED5"/>
    <w:rsid w:val="000800A7"/>
    <w:rsid w:val="00080418"/>
    <w:rsid w:val="00081DF3"/>
    <w:rsid w:val="00082C48"/>
    <w:rsid w:val="00097799"/>
    <w:rsid w:val="000C0250"/>
    <w:rsid w:val="000C1BB2"/>
    <w:rsid w:val="000C3F99"/>
    <w:rsid w:val="000C71A0"/>
    <w:rsid w:val="000C72A9"/>
    <w:rsid w:val="000F2B21"/>
    <w:rsid w:val="00101988"/>
    <w:rsid w:val="0010200D"/>
    <w:rsid w:val="001238FD"/>
    <w:rsid w:val="00125219"/>
    <w:rsid w:val="00132D62"/>
    <w:rsid w:val="00145C58"/>
    <w:rsid w:val="00165C80"/>
    <w:rsid w:val="001720FD"/>
    <w:rsid w:val="00174B4E"/>
    <w:rsid w:val="00184D12"/>
    <w:rsid w:val="00185D72"/>
    <w:rsid w:val="0019142D"/>
    <w:rsid w:val="001A063D"/>
    <w:rsid w:val="001A1DA4"/>
    <w:rsid w:val="001A267C"/>
    <w:rsid w:val="001A7D21"/>
    <w:rsid w:val="001C607A"/>
    <w:rsid w:val="001D1081"/>
    <w:rsid w:val="001D192D"/>
    <w:rsid w:val="001D1B88"/>
    <w:rsid w:val="001D1F2F"/>
    <w:rsid w:val="001D21A1"/>
    <w:rsid w:val="001E38FC"/>
    <w:rsid w:val="001F45C8"/>
    <w:rsid w:val="00217E19"/>
    <w:rsid w:val="002326E1"/>
    <w:rsid w:val="00237288"/>
    <w:rsid w:val="00242E51"/>
    <w:rsid w:val="0024702E"/>
    <w:rsid w:val="00273F16"/>
    <w:rsid w:val="0027701D"/>
    <w:rsid w:val="0027778F"/>
    <w:rsid w:val="00284246"/>
    <w:rsid w:val="002860F3"/>
    <w:rsid w:val="00286A40"/>
    <w:rsid w:val="002870CB"/>
    <w:rsid w:val="00290DAC"/>
    <w:rsid w:val="002977FA"/>
    <w:rsid w:val="002A16B2"/>
    <w:rsid w:val="002A3594"/>
    <w:rsid w:val="002C523C"/>
    <w:rsid w:val="002E1A0B"/>
    <w:rsid w:val="002F0104"/>
    <w:rsid w:val="003059B5"/>
    <w:rsid w:val="0030609F"/>
    <w:rsid w:val="003147FD"/>
    <w:rsid w:val="0031555B"/>
    <w:rsid w:val="003217C9"/>
    <w:rsid w:val="00323839"/>
    <w:rsid w:val="0032615A"/>
    <w:rsid w:val="00326490"/>
    <w:rsid w:val="0033039E"/>
    <w:rsid w:val="00333993"/>
    <w:rsid w:val="003368A5"/>
    <w:rsid w:val="00357080"/>
    <w:rsid w:val="003810C3"/>
    <w:rsid w:val="00392003"/>
    <w:rsid w:val="0039434B"/>
    <w:rsid w:val="00394A88"/>
    <w:rsid w:val="0039774F"/>
    <w:rsid w:val="00397F94"/>
    <w:rsid w:val="003A572E"/>
    <w:rsid w:val="003A6882"/>
    <w:rsid w:val="003B4669"/>
    <w:rsid w:val="003C1E8B"/>
    <w:rsid w:val="003D18D5"/>
    <w:rsid w:val="003D1A51"/>
    <w:rsid w:val="003D4A8C"/>
    <w:rsid w:val="003E400E"/>
    <w:rsid w:val="003E4E38"/>
    <w:rsid w:val="003F21B3"/>
    <w:rsid w:val="00400084"/>
    <w:rsid w:val="0040164E"/>
    <w:rsid w:val="00402937"/>
    <w:rsid w:val="004103AF"/>
    <w:rsid w:val="00416FB3"/>
    <w:rsid w:val="00423031"/>
    <w:rsid w:val="00427780"/>
    <w:rsid w:val="0043562A"/>
    <w:rsid w:val="00437BB7"/>
    <w:rsid w:val="0045456B"/>
    <w:rsid w:val="004743F5"/>
    <w:rsid w:val="0047540A"/>
    <w:rsid w:val="00476D22"/>
    <w:rsid w:val="00477CE8"/>
    <w:rsid w:val="004814D5"/>
    <w:rsid w:val="00483593"/>
    <w:rsid w:val="00492C65"/>
    <w:rsid w:val="004B2738"/>
    <w:rsid w:val="004C217F"/>
    <w:rsid w:val="004C3317"/>
    <w:rsid w:val="004C3719"/>
    <w:rsid w:val="004C6356"/>
    <w:rsid w:val="004D284C"/>
    <w:rsid w:val="004D7CB2"/>
    <w:rsid w:val="004F049E"/>
    <w:rsid w:val="004F5ED4"/>
    <w:rsid w:val="004F66F6"/>
    <w:rsid w:val="0050231A"/>
    <w:rsid w:val="00533FC7"/>
    <w:rsid w:val="00536A5F"/>
    <w:rsid w:val="00547C32"/>
    <w:rsid w:val="0055499E"/>
    <w:rsid w:val="00557148"/>
    <w:rsid w:val="005634E9"/>
    <w:rsid w:val="005639FB"/>
    <w:rsid w:val="005657D0"/>
    <w:rsid w:val="005675A1"/>
    <w:rsid w:val="00576513"/>
    <w:rsid w:val="005805D6"/>
    <w:rsid w:val="005820DF"/>
    <w:rsid w:val="00593171"/>
    <w:rsid w:val="005B6E05"/>
    <w:rsid w:val="005D79E6"/>
    <w:rsid w:val="005E03AC"/>
    <w:rsid w:val="005F6D00"/>
    <w:rsid w:val="006128CF"/>
    <w:rsid w:val="00620D61"/>
    <w:rsid w:val="00621162"/>
    <w:rsid w:val="006219FD"/>
    <w:rsid w:val="00624480"/>
    <w:rsid w:val="006265EC"/>
    <w:rsid w:val="00632277"/>
    <w:rsid w:val="006505A6"/>
    <w:rsid w:val="00651237"/>
    <w:rsid w:val="00655AD9"/>
    <w:rsid w:val="006567A2"/>
    <w:rsid w:val="00660E11"/>
    <w:rsid w:val="006614C7"/>
    <w:rsid w:val="006724BB"/>
    <w:rsid w:val="0068038D"/>
    <w:rsid w:val="006824A3"/>
    <w:rsid w:val="00686B4B"/>
    <w:rsid w:val="006968E0"/>
    <w:rsid w:val="006A2B64"/>
    <w:rsid w:val="006A410F"/>
    <w:rsid w:val="006A73C5"/>
    <w:rsid w:val="006C1D26"/>
    <w:rsid w:val="006D2200"/>
    <w:rsid w:val="006D267D"/>
    <w:rsid w:val="006D41FD"/>
    <w:rsid w:val="006E01D0"/>
    <w:rsid w:val="006E38C0"/>
    <w:rsid w:val="00703F77"/>
    <w:rsid w:val="00713B62"/>
    <w:rsid w:val="007210F6"/>
    <w:rsid w:val="00727FA2"/>
    <w:rsid w:val="0073033C"/>
    <w:rsid w:val="00743B3C"/>
    <w:rsid w:val="007515E9"/>
    <w:rsid w:val="00753745"/>
    <w:rsid w:val="00761895"/>
    <w:rsid w:val="007620AE"/>
    <w:rsid w:val="00762808"/>
    <w:rsid w:val="00762E98"/>
    <w:rsid w:val="00765C3E"/>
    <w:rsid w:val="00781A56"/>
    <w:rsid w:val="00781FB8"/>
    <w:rsid w:val="00790368"/>
    <w:rsid w:val="0079280F"/>
    <w:rsid w:val="007975B2"/>
    <w:rsid w:val="007A1B16"/>
    <w:rsid w:val="007A51EB"/>
    <w:rsid w:val="007B1C0A"/>
    <w:rsid w:val="007B781B"/>
    <w:rsid w:val="007D5CA6"/>
    <w:rsid w:val="007D7DA4"/>
    <w:rsid w:val="007E5626"/>
    <w:rsid w:val="007F2738"/>
    <w:rsid w:val="007F4892"/>
    <w:rsid w:val="007F611E"/>
    <w:rsid w:val="007F63D7"/>
    <w:rsid w:val="007F6A98"/>
    <w:rsid w:val="007F7760"/>
    <w:rsid w:val="008060C1"/>
    <w:rsid w:val="0080610F"/>
    <w:rsid w:val="00814584"/>
    <w:rsid w:val="00815DDE"/>
    <w:rsid w:val="00817921"/>
    <w:rsid w:val="00827F31"/>
    <w:rsid w:val="00831BA5"/>
    <w:rsid w:val="00843DFC"/>
    <w:rsid w:val="00867365"/>
    <w:rsid w:val="008813FE"/>
    <w:rsid w:val="0088182E"/>
    <w:rsid w:val="008871AE"/>
    <w:rsid w:val="008921EA"/>
    <w:rsid w:val="008A0124"/>
    <w:rsid w:val="008A620F"/>
    <w:rsid w:val="008D6B7F"/>
    <w:rsid w:val="008F2091"/>
    <w:rsid w:val="0090225C"/>
    <w:rsid w:val="00914583"/>
    <w:rsid w:val="00925DCE"/>
    <w:rsid w:val="00930230"/>
    <w:rsid w:val="009355D7"/>
    <w:rsid w:val="00947750"/>
    <w:rsid w:val="00957596"/>
    <w:rsid w:val="00973672"/>
    <w:rsid w:val="00976451"/>
    <w:rsid w:val="00983663"/>
    <w:rsid w:val="009942E4"/>
    <w:rsid w:val="009B0683"/>
    <w:rsid w:val="009B1F8B"/>
    <w:rsid w:val="009B29E9"/>
    <w:rsid w:val="009D197B"/>
    <w:rsid w:val="009D3D1A"/>
    <w:rsid w:val="009D6850"/>
    <w:rsid w:val="009E15F2"/>
    <w:rsid w:val="009E179E"/>
    <w:rsid w:val="009E1AA3"/>
    <w:rsid w:val="009E1C58"/>
    <w:rsid w:val="009E4D78"/>
    <w:rsid w:val="009E5F19"/>
    <w:rsid w:val="009E78BC"/>
    <w:rsid w:val="009F4748"/>
    <w:rsid w:val="009F6D0D"/>
    <w:rsid w:val="009F770D"/>
    <w:rsid w:val="00A0550C"/>
    <w:rsid w:val="00A06733"/>
    <w:rsid w:val="00A07C67"/>
    <w:rsid w:val="00A1475F"/>
    <w:rsid w:val="00A20A21"/>
    <w:rsid w:val="00A24F19"/>
    <w:rsid w:val="00A274F4"/>
    <w:rsid w:val="00A31DF0"/>
    <w:rsid w:val="00A37AC6"/>
    <w:rsid w:val="00A450C5"/>
    <w:rsid w:val="00A55827"/>
    <w:rsid w:val="00A70099"/>
    <w:rsid w:val="00A8023E"/>
    <w:rsid w:val="00A92560"/>
    <w:rsid w:val="00A96EB0"/>
    <w:rsid w:val="00AB4EE4"/>
    <w:rsid w:val="00AB6A05"/>
    <w:rsid w:val="00AC0F43"/>
    <w:rsid w:val="00AC2C2A"/>
    <w:rsid w:val="00AC5DB2"/>
    <w:rsid w:val="00AC7392"/>
    <w:rsid w:val="00AF220A"/>
    <w:rsid w:val="00B1177E"/>
    <w:rsid w:val="00B13243"/>
    <w:rsid w:val="00B21437"/>
    <w:rsid w:val="00B24EC1"/>
    <w:rsid w:val="00B3552A"/>
    <w:rsid w:val="00B461E5"/>
    <w:rsid w:val="00B5036F"/>
    <w:rsid w:val="00B53F61"/>
    <w:rsid w:val="00B632DC"/>
    <w:rsid w:val="00B64CA5"/>
    <w:rsid w:val="00B672C6"/>
    <w:rsid w:val="00B6753D"/>
    <w:rsid w:val="00B70BFA"/>
    <w:rsid w:val="00B74C10"/>
    <w:rsid w:val="00B91314"/>
    <w:rsid w:val="00BA7EDA"/>
    <w:rsid w:val="00BB13FC"/>
    <w:rsid w:val="00BB2C8F"/>
    <w:rsid w:val="00BB3BD8"/>
    <w:rsid w:val="00BB61B6"/>
    <w:rsid w:val="00BD4C27"/>
    <w:rsid w:val="00BE2E8C"/>
    <w:rsid w:val="00BE38F9"/>
    <w:rsid w:val="00BF01B0"/>
    <w:rsid w:val="00BF6425"/>
    <w:rsid w:val="00C03D05"/>
    <w:rsid w:val="00C059A6"/>
    <w:rsid w:val="00C207D1"/>
    <w:rsid w:val="00C301CE"/>
    <w:rsid w:val="00C31B49"/>
    <w:rsid w:val="00C33FBF"/>
    <w:rsid w:val="00C358D0"/>
    <w:rsid w:val="00C43B2B"/>
    <w:rsid w:val="00C44D31"/>
    <w:rsid w:val="00C459B0"/>
    <w:rsid w:val="00C53512"/>
    <w:rsid w:val="00C7110C"/>
    <w:rsid w:val="00C71149"/>
    <w:rsid w:val="00C84B3B"/>
    <w:rsid w:val="00C873E1"/>
    <w:rsid w:val="00C91CF0"/>
    <w:rsid w:val="00CA5452"/>
    <w:rsid w:val="00CB2549"/>
    <w:rsid w:val="00CB4C9D"/>
    <w:rsid w:val="00CB78DF"/>
    <w:rsid w:val="00CC0797"/>
    <w:rsid w:val="00CC170E"/>
    <w:rsid w:val="00CC1973"/>
    <w:rsid w:val="00CC3584"/>
    <w:rsid w:val="00CD0AA4"/>
    <w:rsid w:val="00CE1C79"/>
    <w:rsid w:val="00CF037A"/>
    <w:rsid w:val="00D2015F"/>
    <w:rsid w:val="00D20D29"/>
    <w:rsid w:val="00D23DD0"/>
    <w:rsid w:val="00D2412E"/>
    <w:rsid w:val="00D306A5"/>
    <w:rsid w:val="00D31CF5"/>
    <w:rsid w:val="00D37B9E"/>
    <w:rsid w:val="00D403A8"/>
    <w:rsid w:val="00D55563"/>
    <w:rsid w:val="00D57293"/>
    <w:rsid w:val="00D61778"/>
    <w:rsid w:val="00D63FC7"/>
    <w:rsid w:val="00D64B72"/>
    <w:rsid w:val="00D66A92"/>
    <w:rsid w:val="00D94CE5"/>
    <w:rsid w:val="00D94FA9"/>
    <w:rsid w:val="00DB24C0"/>
    <w:rsid w:val="00DB2F0F"/>
    <w:rsid w:val="00DB7D3B"/>
    <w:rsid w:val="00DC7A19"/>
    <w:rsid w:val="00DD4693"/>
    <w:rsid w:val="00DD49A8"/>
    <w:rsid w:val="00DD7B60"/>
    <w:rsid w:val="00DE4937"/>
    <w:rsid w:val="00DF784F"/>
    <w:rsid w:val="00E1079C"/>
    <w:rsid w:val="00E12A20"/>
    <w:rsid w:val="00E13247"/>
    <w:rsid w:val="00E1461F"/>
    <w:rsid w:val="00E1597D"/>
    <w:rsid w:val="00E200C9"/>
    <w:rsid w:val="00E27D4F"/>
    <w:rsid w:val="00E316E1"/>
    <w:rsid w:val="00E31C18"/>
    <w:rsid w:val="00E330CF"/>
    <w:rsid w:val="00E36097"/>
    <w:rsid w:val="00E51AE8"/>
    <w:rsid w:val="00E53818"/>
    <w:rsid w:val="00E70FE5"/>
    <w:rsid w:val="00E77E8E"/>
    <w:rsid w:val="00E95B50"/>
    <w:rsid w:val="00EB23EE"/>
    <w:rsid w:val="00EC2320"/>
    <w:rsid w:val="00EC35DF"/>
    <w:rsid w:val="00ED42F0"/>
    <w:rsid w:val="00ED5328"/>
    <w:rsid w:val="00F23C0D"/>
    <w:rsid w:val="00F23FAE"/>
    <w:rsid w:val="00F45653"/>
    <w:rsid w:val="00F671C5"/>
    <w:rsid w:val="00F675C3"/>
    <w:rsid w:val="00F84932"/>
    <w:rsid w:val="00F87A5B"/>
    <w:rsid w:val="00F87E70"/>
    <w:rsid w:val="00F95640"/>
    <w:rsid w:val="00F97354"/>
    <w:rsid w:val="00F97603"/>
    <w:rsid w:val="00FA31AE"/>
    <w:rsid w:val="00FA3507"/>
    <w:rsid w:val="00FA403E"/>
    <w:rsid w:val="00FB42BB"/>
    <w:rsid w:val="00FD367D"/>
    <w:rsid w:val="00FF017F"/>
    <w:rsid w:val="00FF0D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6D398"/>
  <w15:docId w15:val="{056EEF1A-CCC6-49AC-AB28-D256C797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416FB3"/>
    <w:rPr>
      <w:sz w:val="20"/>
      <w:szCs w:val="20"/>
      <w:lang w:val="es-ES"/>
    </w:rPr>
  </w:style>
  <w:style w:type="character" w:styleId="Refdenotaalpie">
    <w:name w:val="footnote reference"/>
    <w:semiHidden/>
    <w:rsid w:val="00416FB3"/>
    <w:rPr>
      <w:vertAlign w:val="superscript"/>
    </w:rPr>
  </w:style>
  <w:style w:type="character" w:styleId="Hipervnculo">
    <w:name w:val="Hyperlink"/>
    <w:rsid w:val="00EB23EE"/>
    <w:rPr>
      <w:color w:val="0000FF"/>
      <w:u w:val="single"/>
    </w:rPr>
  </w:style>
  <w:style w:type="paragraph" w:styleId="Textoindependiente">
    <w:name w:val="Body Text"/>
    <w:basedOn w:val="Normal"/>
    <w:rsid w:val="00727FA2"/>
    <w:pPr>
      <w:autoSpaceDE w:val="0"/>
      <w:autoSpaceDN w:val="0"/>
    </w:pPr>
    <w:rPr>
      <w:sz w:val="20"/>
      <w:szCs w:val="20"/>
      <w:lang w:val="es-ES"/>
    </w:rPr>
  </w:style>
  <w:style w:type="paragraph" w:styleId="NormalWeb">
    <w:name w:val="Normal (Web)"/>
    <w:basedOn w:val="Normal"/>
    <w:rsid w:val="00814584"/>
    <w:pPr>
      <w:spacing w:before="100" w:beforeAutospacing="1" w:after="100" w:afterAutospacing="1"/>
    </w:pPr>
    <w:rPr>
      <w:lang w:val="es-ES"/>
    </w:rPr>
  </w:style>
  <w:style w:type="paragraph" w:customStyle="1" w:styleId="Preformatted">
    <w:name w:val="Preformatted"/>
    <w:basedOn w:val="Normal"/>
    <w:rsid w:val="00290D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xtinst1">
    <w:name w:val="txt_inst1"/>
    <w:rsid w:val="00290DAC"/>
    <w:rPr>
      <w:rFonts w:ascii="Verdana" w:hAnsi="Verdana" w:hint="default"/>
      <w:b w:val="0"/>
      <w:bCs w:val="0"/>
      <w:strike w:val="0"/>
      <w:dstrike w:val="0"/>
      <w:color w:val="000000"/>
      <w:sz w:val="15"/>
      <w:szCs w:val="15"/>
      <w:u w:val="none"/>
      <w:effect w:val="none"/>
    </w:rPr>
  </w:style>
  <w:style w:type="paragraph" w:styleId="Piedepgina">
    <w:name w:val="footer"/>
    <w:basedOn w:val="Normal"/>
    <w:link w:val="PiedepginaCar"/>
    <w:uiPriority w:val="99"/>
    <w:rsid w:val="000C3F99"/>
    <w:pPr>
      <w:tabs>
        <w:tab w:val="center" w:pos="4252"/>
        <w:tab w:val="right" w:pos="8504"/>
      </w:tabs>
    </w:pPr>
  </w:style>
  <w:style w:type="character" w:styleId="Nmerodepgina">
    <w:name w:val="page number"/>
    <w:basedOn w:val="Fuentedeprrafopredeter"/>
    <w:rsid w:val="000C3F99"/>
  </w:style>
  <w:style w:type="paragraph" w:customStyle="1" w:styleId="Estilo">
    <w:name w:val="Estilo"/>
    <w:rsid w:val="00C71149"/>
    <w:pPr>
      <w:widowControl w:val="0"/>
      <w:autoSpaceDE w:val="0"/>
      <w:autoSpaceDN w:val="0"/>
      <w:adjustRightInd w:val="0"/>
    </w:pPr>
    <w:rPr>
      <w:rFonts w:ascii="Courier New" w:hAnsi="Courier New" w:cs="Courier New"/>
      <w:sz w:val="24"/>
      <w:szCs w:val="24"/>
      <w:lang w:val="es-ES" w:eastAsia="es-ES"/>
    </w:rPr>
  </w:style>
  <w:style w:type="table" w:styleId="Tablaconcuadrcula">
    <w:name w:val="Table Grid"/>
    <w:basedOn w:val="Tablanormal"/>
    <w:rsid w:val="00F4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rsid w:val="00D403A8"/>
    <w:rPr>
      <w:rFonts w:ascii="Verdana" w:hAnsi="Verdana" w:cs="Tahoma" w:hint="default"/>
      <w:b/>
      <w:bCs/>
      <w:color w:val="003366"/>
      <w:sz w:val="23"/>
      <w:szCs w:val="23"/>
    </w:rPr>
  </w:style>
  <w:style w:type="character" w:styleId="Textoennegrita">
    <w:name w:val="Strong"/>
    <w:qFormat/>
    <w:rsid w:val="00B24EC1"/>
    <w:rPr>
      <w:b/>
      <w:bCs/>
    </w:rPr>
  </w:style>
  <w:style w:type="paragraph" w:styleId="Textonotaalfinal">
    <w:name w:val="endnote text"/>
    <w:basedOn w:val="Normal"/>
    <w:link w:val="TextonotaalfinalCar"/>
    <w:rsid w:val="00831BA5"/>
    <w:rPr>
      <w:sz w:val="20"/>
      <w:szCs w:val="20"/>
    </w:rPr>
  </w:style>
  <w:style w:type="character" w:customStyle="1" w:styleId="TextonotaalfinalCar">
    <w:name w:val="Texto nota al final Car"/>
    <w:link w:val="Textonotaalfinal"/>
    <w:rsid w:val="00831BA5"/>
    <w:rPr>
      <w:lang w:eastAsia="es-ES"/>
    </w:rPr>
  </w:style>
  <w:style w:type="character" w:styleId="Refdenotaalfinal">
    <w:name w:val="endnote reference"/>
    <w:rsid w:val="00831BA5"/>
    <w:rPr>
      <w:vertAlign w:val="superscript"/>
    </w:rPr>
  </w:style>
  <w:style w:type="paragraph" w:styleId="Encabezado">
    <w:name w:val="header"/>
    <w:basedOn w:val="Normal"/>
    <w:link w:val="EncabezadoCar"/>
    <w:unhideWhenUsed/>
    <w:rsid w:val="00976451"/>
    <w:pPr>
      <w:tabs>
        <w:tab w:val="center" w:pos="4419"/>
        <w:tab w:val="right" w:pos="8838"/>
      </w:tabs>
    </w:pPr>
  </w:style>
  <w:style w:type="character" w:customStyle="1" w:styleId="EncabezadoCar">
    <w:name w:val="Encabezado Car"/>
    <w:basedOn w:val="Fuentedeprrafopredeter"/>
    <w:link w:val="Encabezado"/>
    <w:rsid w:val="00976451"/>
    <w:rPr>
      <w:sz w:val="24"/>
      <w:szCs w:val="24"/>
      <w:lang w:eastAsia="es-ES"/>
    </w:rPr>
  </w:style>
  <w:style w:type="character" w:customStyle="1" w:styleId="PiedepginaCar">
    <w:name w:val="Pie de página Car"/>
    <w:basedOn w:val="Fuentedeprrafopredeter"/>
    <w:link w:val="Piedepgina"/>
    <w:uiPriority w:val="99"/>
    <w:rsid w:val="00976451"/>
    <w:rPr>
      <w:sz w:val="24"/>
      <w:szCs w:val="24"/>
      <w:lang w:eastAsia="es-ES"/>
    </w:rPr>
  </w:style>
  <w:style w:type="paragraph" w:styleId="Sinespaciado">
    <w:name w:val="No Spacing"/>
    <w:link w:val="SinespaciadoCar"/>
    <w:uiPriority w:val="1"/>
    <w:qFormat/>
    <w:rsid w:val="00976451"/>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97645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4CEB-2B22-4E21-8444-D28C0221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4322</Words>
  <Characters>24642</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El turismo en el Perú</vt:lpstr>
    </vt:vector>
  </TitlesOfParts>
  <Company>pucp</Company>
  <LinksUpToDate>false</LinksUpToDate>
  <CharactersWithSpaces>28907</CharactersWithSpaces>
  <SharedDoc>false</SharedDoc>
  <HLinks>
    <vt:vector size="24" baseType="variant">
      <vt:variant>
        <vt:i4>3211318</vt:i4>
      </vt:variant>
      <vt:variant>
        <vt:i4>3</vt:i4>
      </vt:variant>
      <vt:variant>
        <vt:i4>0</vt:i4>
      </vt:variant>
      <vt:variant>
        <vt:i4>5</vt:i4>
      </vt:variant>
      <vt:variant>
        <vt:lpwstr>http://www.bcrp.gob.pe/</vt:lpwstr>
      </vt:variant>
      <vt:variant>
        <vt:lpwstr/>
      </vt:variant>
      <vt:variant>
        <vt:i4>4128808</vt:i4>
      </vt:variant>
      <vt:variant>
        <vt:i4>0</vt:i4>
      </vt:variant>
      <vt:variant>
        <vt:i4>0</vt:i4>
      </vt:variant>
      <vt:variant>
        <vt:i4>5</vt:i4>
      </vt:variant>
      <vt:variant>
        <vt:lpwstr>http://www.indecopi.gob.pe/</vt:lpwstr>
      </vt:variant>
      <vt:variant>
        <vt:lpwstr/>
      </vt:variant>
      <vt:variant>
        <vt:i4>2949159</vt:i4>
      </vt:variant>
      <vt:variant>
        <vt:i4>3</vt:i4>
      </vt:variant>
      <vt:variant>
        <vt:i4>0</vt:i4>
      </vt:variant>
      <vt:variant>
        <vt:i4>5</vt:i4>
      </vt:variant>
      <vt:variant>
        <vt:lpwstr>http://www.congreso.gob.pe/</vt:lpwstr>
      </vt:variant>
      <vt:variant>
        <vt:lpwstr/>
      </vt:variant>
      <vt:variant>
        <vt:i4>4915284</vt:i4>
      </vt:variant>
      <vt:variant>
        <vt:i4>0</vt:i4>
      </vt:variant>
      <vt:variant>
        <vt:i4>0</vt:i4>
      </vt:variant>
      <vt:variant>
        <vt:i4>5</vt:i4>
      </vt:variant>
      <vt:variant>
        <vt:lpwstr>http://www.perutren.org/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turismo en el Perú</dc:title>
  <dc:creator>nfuller</dc:creator>
  <cp:lastModifiedBy>Sergio Bazo</cp:lastModifiedBy>
  <cp:revision>2</cp:revision>
  <cp:lastPrinted>2009-07-02T23:09:00Z</cp:lastPrinted>
  <dcterms:created xsi:type="dcterms:W3CDTF">2017-12-29T18:28:00Z</dcterms:created>
  <dcterms:modified xsi:type="dcterms:W3CDTF">2017-12-29T18:28:00Z</dcterms:modified>
</cp:coreProperties>
</file>